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BD" w:rsidRPr="00FA52BD" w:rsidRDefault="00FA52BD" w:rsidP="00FA52B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34A52"/>
          <w:sz w:val="24"/>
          <w:szCs w:val="24"/>
        </w:rPr>
        <w:t>I</w:t>
      </w:r>
      <w:bookmarkStart w:id="0" w:name="_GoBack"/>
      <w:bookmarkEnd w:id="0"/>
      <w:r w:rsidRPr="00FA52BD">
        <w:rPr>
          <w:rFonts w:ascii="Arial" w:eastAsia="Times New Roman" w:hAnsi="Arial" w:cs="Arial"/>
          <w:color w:val="434A52"/>
          <w:sz w:val="24"/>
          <w:szCs w:val="24"/>
        </w:rPr>
        <w:t>spitna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pitanja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Građanskog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procesnog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PODGORICA</w:t>
      </w:r>
    </w:p>
    <w:p w:rsidR="00FA52BD" w:rsidRPr="00FA52BD" w:rsidRDefault="00FA52BD" w:rsidP="00FA52B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Završni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ispit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sredstva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Predmet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Nepostojanje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potrebe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dokazivanjem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Kada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je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oslobođen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dužnosti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izvođenja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Teret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Predlog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izvođenja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Rješenje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o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izvođenju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Podnošenje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dokaznih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sredstava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strane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stranaka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pribavljanje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istih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strane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Ispitivanje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dokaznih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sredstava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Uviđaj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Šta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je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predmet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uviđaja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vrši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uviđaj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cilj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uviđaja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je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dužan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da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podnese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ispravu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snaga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Svejdoci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može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uskratiti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svjedočenje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Uskraćivanje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odgovora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pojedina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pitanja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Izvođenje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saskušanjem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svjedoka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Ocjene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iskaza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svjedoka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Vještaci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Ocjena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dobijanog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vještačenja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Saslušanje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stranke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Prekid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sili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zakona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Prekid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ocjeni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Procesni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značaj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prekida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Nastavljanje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Sudsko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poravnanje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priroda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poravnanja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Vrste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odluka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Potpuna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Djelimična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Međupresuda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osnovu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priznanja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osnovu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odricanja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osnovu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izostanka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Dopunska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Šta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sadrži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svaka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Ispravljanje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Tumačenje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Redovni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ljekovi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protiv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lastRenderedPageBreak/>
        <w:t>Žalba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kao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podnesak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Beneficijum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novorum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neutvrđenjo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činjenično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stanje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Apsolutno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relativno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bitne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povrede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odredaba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parničnog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Pogrešno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ili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nepotpuno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utvrđeno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činjenično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stanje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Pogrešna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primjena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materijalnog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Kome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se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podnosi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prvostepenog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žalbi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drugostepenog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žalbi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Granice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ispitivanja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prvostepene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Odluke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drugostepenog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Odbijanje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kao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neosnovane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potvrđenje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pvostepene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Ukidanje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prvostepene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Preinačenje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prvostepene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Žalba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protiv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rješenja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Formalna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pravnosnažnost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Materijalna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pravnosnažnost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Druga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dejstva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pravnosnažne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presude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O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granicama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pravnosnažnosti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Subjektivne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granice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Granice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pravnosnažnosti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prema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predmetu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spora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Troškovi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bračnim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sporovima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Po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čemu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postupci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bračnim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sporovima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poseban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Posebnosti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bračnim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sporovima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u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paternitetskim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sporovima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ima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pravo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podizanje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tužbe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osporavanje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očinstva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zaštite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posjeda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priznanja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stranih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sudskih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odluka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valjani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izvršni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naslov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Odlučivanje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o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priznanju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Varparnični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Razgraničenje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parnice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od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vanparnice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proglašenje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nestalog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lica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umrlo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smrti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Kako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se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pokreće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Pokretanje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Izmjene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rješenja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o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proglašenju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nestalog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lica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umrlo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Dokazivanje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smrti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uređenje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međa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Postupak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za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uređenje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odnosa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među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suvlasnicima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Notari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Pojam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predmet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izvršnog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Izvori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izvršnog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postupka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Subjekti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Izvršene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isprave</w:t>
      </w:r>
      <w:proofErr w:type="spellEnd"/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Šta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se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smatra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pod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pojmom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vjerodostojna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isprava</w:t>
      </w:r>
      <w:proofErr w:type="spellEnd"/>
    </w:p>
    <w:p w:rsidR="00FA52BD" w:rsidRPr="00FA52BD" w:rsidRDefault="00FA52BD" w:rsidP="00FA52B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Tahoma" w:eastAsia="Times New Roman" w:hAnsi="Tahoma" w:cs="Tahoma"/>
          <w:color w:val="434A52"/>
          <w:sz w:val="24"/>
          <w:szCs w:val="24"/>
        </w:rPr>
        <w:t> 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Klauzula</w:t>
      </w:r>
      <w:proofErr w:type="spellEnd"/>
      <w:r w:rsidRPr="00FA52BD">
        <w:rPr>
          <w:rFonts w:ascii="Arial" w:eastAsia="Times New Roman" w:hAnsi="Arial" w:cs="Arial"/>
          <w:color w:val="434A52"/>
          <w:sz w:val="24"/>
          <w:szCs w:val="24"/>
        </w:rPr>
        <w:t xml:space="preserve"> </w:t>
      </w:r>
      <w:proofErr w:type="spellStart"/>
      <w:r w:rsidRPr="00FA52BD">
        <w:rPr>
          <w:rFonts w:ascii="Arial" w:eastAsia="Times New Roman" w:hAnsi="Arial" w:cs="Arial"/>
          <w:color w:val="434A52"/>
          <w:sz w:val="24"/>
          <w:szCs w:val="24"/>
        </w:rPr>
        <w:t>izvršnosti</w:t>
      </w:r>
      <w:proofErr w:type="spellEnd"/>
    </w:p>
    <w:p w:rsidR="00FA52BD" w:rsidRPr="00FA52BD" w:rsidRDefault="00FA52BD" w:rsidP="00FA52B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</w:rPr>
      </w:pPr>
      <w:r w:rsidRPr="00FA52BD">
        <w:rPr>
          <w:rFonts w:ascii="Arial" w:eastAsia="Times New Roman" w:hAnsi="Arial" w:cs="Arial"/>
          <w:color w:val="434A52"/>
          <w:sz w:val="24"/>
          <w:szCs w:val="24"/>
        </w:rPr>
        <w:lastRenderedPageBreak/>
        <w:t> </w:t>
      </w:r>
    </w:p>
    <w:p w:rsidR="00C96AEA" w:rsidRDefault="00C96AEA"/>
    <w:sectPr w:rsidR="00C9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CD7"/>
    <w:multiLevelType w:val="multilevel"/>
    <w:tmpl w:val="9E3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D"/>
    <w:rsid w:val="00C96AEA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37A4"/>
  <w15:chartTrackingRefBased/>
  <w15:docId w15:val="{8BACDDC1-EC1F-46F2-A505-0AE13E7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2020-05-13T15:17:00Z</dcterms:created>
  <dcterms:modified xsi:type="dcterms:W3CDTF">2020-05-13T15:18:00Z</dcterms:modified>
</cp:coreProperties>
</file>